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9369E" w14:textId="77777777" w:rsidR="0084511A" w:rsidRDefault="000B4467">
      <w:pPr>
        <w:tabs>
          <w:tab w:val="left" w:pos="903"/>
        </w:tabs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ab/>
      </w:r>
    </w:p>
    <w:p w14:paraId="0B2110B6" w14:textId="3BAE4665" w:rsidR="0084511A" w:rsidRDefault="000B4467">
      <w:pPr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8"/>
          <w:szCs w:val="28"/>
        </w:rPr>
        <w:t>Zjednodušené metody vykazování pro technickou pomoc OPŽP/OPST pro období 2021–2027: stanovení přímých a ostatních výdajů dle čl.</w:t>
      </w:r>
      <w:r w:rsidR="0088218D">
        <w:rPr>
          <w:rFonts w:ascii="Segoe UI" w:hAnsi="Segoe UI" w:cs="Segoe UI"/>
          <w:b/>
          <w:sz w:val="28"/>
          <w:szCs w:val="28"/>
        </w:rPr>
        <w:t> </w:t>
      </w:r>
      <w:r>
        <w:rPr>
          <w:rFonts w:ascii="Segoe UI" w:hAnsi="Segoe UI" w:cs="Segoe UI"/>
          <w:b/>
          <w:sz w:val="28"/>
          <w:szCs w:val="28"/>
        </w:rPr>
        <w:t>56 návrhu obecného nařízení</w:t>
      </w:r>
      <w:r>
        <w:rPr>
          <w:rStyle w:val="Znakapoznpodarou"/>
          <w:rFonts w:ascii="Segoe UI" w:hAnsi="Segoe UI" w:cs="Segoe UI"/>
          <w:b/>
          <w:sz w:val="20"/>
          <w:szCs w:val="20"/>
        </w:rPr>
        <w:footnoteReference w:id="1"/>
      </w:r>
    </w:p>
    <w:p w14:paraId="455C449C" w14:textId="77777777" w:rsidR="0084511A" w:rsidRDefault="0084511A">
      <w:pPr>
        <w:jc w:val="both"/>
        <w:rPr>
          <w:rFonts w:ascii="Segoe UI" w:hAnsi="Segoe UI" w:cs="Segoe UI"/>
          <w:b/>
          <w:sz w:val="20"/>
          <w:szCs w:val="20"/>
        </w:rPr>
      </w:pPr>
    </w:p>
    <w:p w14:paraId="7FC0E3A5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V období 2021–2027 je dle čl. 56 obecného nařízení umožněno aplikovat sazbu až 40 % ze mzdových výdajů.  </w:t>
      </w:r>
    </w:p>
    <w:p w14:paraId="25EA1C04" w14:textId="77777777" w:rsidR="0084511A" w:rsidRDefault="000B4467">
      <w:pPr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8"/>
          <w:szCs w:val="28"/>
        </w:rPr>
        <w:t>Technická pomoc OPŽP/OPST</w:t>
      </w:r>
      <w:r>
        <w:rPr>
          <w:rFonts w:ascii="Segoe UI" w:hAnsi="Segoe UI" w:cs="Segoe UI"/>
          <w:b/>
          <w:sz w:val="20"/>
          <w:szCs w:val="20"/>
        </w:rPr>
        <w:t xml:space="preserve"> </w:t>
      </w:r>
      <w:r>
        <w:rPr>
          <w:rStyle w:val="Znakapoznpodarou"/>
          <w:rFonts w:ascii="Segoe UI" w:hAnsi="Segoe UI" w:cs="Segoe UI"/>
          <w:b/>
          <w:sz w:val="20"/>
          <w:szCs w:val="20"/>
        </w:rPr>
        <w:footnoteReference w:id="2"/>
      </w:r>
    </w:p>
    <w:p w14:paraId="6B0AAEA0" w14:textId="636F942A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Výdaje za zaměstnance s uzavřenou pracovní smlouvou na plný či částečný pracovní úvazek a zaměstnance ve služebním poměru, kteří implementují program minimálně z 25 % své pracovní činnosti nebo výkonu služby. Výdaje technické pomoci jsou tvořené přímými výdaji na platy pracovníků a ostatními výdaji spočívajícími v materiálně-technickém zajištění činností těchto pracovníků a nákupu služeb. Podrobně níže. </w:t>
      </w:r>
    </w:p>
    <w:p w14:paraId="13DA2A09" w14:textId="77777777" w:rsidR="0084511A" w:rsidRDefault="000B4467">
      <w:pPr>
        <w:jc w:val="both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Přímé výdaje:</w:t>
      </w:r>
    </w:p>
    <w:p w14:paraId="338B6320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mzdy/platy;</w:t>
      </w:r>
    </w:p>
    <w:p w14:paraId="0566A3E3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sociální pojištění;</w:t>
      </w:r>
    </w:p>
    <w:p w14:paraId="4DA9E619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zdravotní pojištění;</w:t>
      </w:r>
    </w:p>
    <w:p w14:paraId="09ED347D" w14:textId="0EBD5650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náhrady mzdy/platu při nemoci a pracovní neschopnosti; </w:t>
      </w:r>
    </w:p>
    <w:p w14:paraId="10A4EEB1" w14:textId="2265B58C" w:rsidR="00076CA0" w:rsidRDefault="00076CA0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odstupné;</w:t>
      </w:r>
    </w:p>
    <w:p w14:paraId="6C0345FF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příspěvek FKSP; stravenkový paušál, případně jiný příspěvek na stravování (vždy pouze jedna metoda příspěvku na stravování, aby nedocházelo </w:t>
      </w:r>
      <w:proofErr w:type="gramStart"/>
      <w:r>
        <w:rPr>
          <w:rFonts w:ascii="Segoe UI" w:hAnsi="Segoe UI" w:cs="Segoe UI"/>
          <w:sz w:val="20"/>
          <w:szCs w:val="20"/>
        </w:rPr>
        <w:t>k</w:t>
      </w:r>
      <w:proofErr w:type="gramEnd"/>
      <w:r>
        <w:rPr>
          <w:rFonts w:ascii="Segoe UI" w:hAnsi="Segoe UI" w:cs="Segoe UI"/>
          <w:sz w:val="20"/>
          <w:szCs w:val="20"/>
        </w:rPr>
        <w:t> dvojímu financování);</w:t>
      </w:r>
    </w:p>
    <w:p w14:paraId="54A13661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náklady na vyplácení čerpání dovolené mezi mateřskou a rodičovskou dovolenou; náhrada mzdy za dovolenou, na kterou vznikl zaměstnanci nárok v jednom kalendářním roce a tato dovolená byla převedena a čerpána až v roce následujícím; náhrada mzdy za nevyčerpanou dovolenou;</w:t>
      </w:r>
    </w:p>
    <w:p w14:paraId="47B0130F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náhrady překážek v práci/službě.</w:t>
      </w:r>
    </w:p>
    <w:p w14:paraId="48D80EE6" w14:textId="77777777" w:rsidR="0084511A" w:rsidRDefault="000B4467">
      <w:pPr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br w:type="page"/>
      </w:r>
    </w:p>
    <w:p w14:paraId="23C06F57" w14:textId="77777777" w:rsidR="0084511A" w:rsidRDefault="000B4467">
      <w:pPr>
        <w:jc w:val="both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lastRenderedPageBreak/>
        <w:t>Ostatní výdaje:</w:t>
      </w:r>
    </w:p>
    <w:p w14:paraId="3ABE2496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odměny z dohod mimo pracovní/služební poměr (DPP, DPČ); </w:t>
      </w:r>
    </w:p>
    <w:p w14:paraId="2B8E5E11" w14:textId="32081278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náklady na zaměstnance zpracovávající odborné posudky k projektům OPŽP mimo implementační strukturu OPŽP;</w:t>
      </w:r>
    </w:p>
    <w:p w14:paraId="7AB943EE" w14:textId="3A1D7E1C" w:rsidR="005E4B38" w:rsidRDefault="005E4B38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náklady na zaměstnance</w:t>
      </w:r>
      <w:r w:rsidR="00CF4264">
        <w:rPr>
          <w:rFonts w:ascii="Segoe UI" w:hAnsi="Segoe UI" w:cs="Segoe UI"/>
          <w:sz w:val="20"/>
          <w:szCs w:val="20"/>
        </w:rPr>
        <w:t>,</w:t>
      </w:r>
      <w:r>
        <w:rPr>
          <w:rFonts w:ascii="Segoe UI" w:hAnsi="Segoe UI" w:cs="Segoe UI"/>
          <w:sz w:val="20"/>
          <w:szCs w:val="20"/>
        </w:rPr>
        <w:t xml:space="preserve"> kteří </w:t>
      </w:r>
      <w:r w:rsidR="00B120DB">
        <w:rPr>
          <w:rFonts w:ascii="Segoe UI" w:hAnsi="Segoe UI" w:cs="Segoe UI"/>
          <w:sz w:val="20"/>
          <w:szCs w:val="20"/>
        </w:rPr>
        <w:t xml:space="preserve">se na cílech projektu nepodílejí přímo, ale </w:t>
      </w:r>
      <w:r w:rsidR="00CF4264">
        <w:rPr>
          <w:rFonts w:ascii="Segoe UI" w:hAnsi="Segoe UI" w:cs="Segoe UI"/>
          <w:sz w:val="20"/>
          <w:szCs w:val="20"/>
        </w:rPr>
        <w:t>zajišťují nezbytnou administrativní podporu v rámci projektů</w:t>
      </w:r>
      <w:r w:rsidR="00B120DB">
        <w:rPr>
          <w:rFonts w:ascii="Segoe UI" w:hAnsi="Segoe UI" w:cs="Segoe UI"/>
          <w:sz w:val="20"/>
          <w:szCs w:val="20"/>
        </w:rPr>
        <w:t>;</w:t>
      </w:r>
    </w:p>
    <w:p w14:paraId="0FBB8846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cestovní výdaje tuzemské i zahraniční vč. náhrady cest zahraničních expertů;</w:t>
      </w:r>
    </w:p>
    <w:p w14:paraId="28678D98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režijní a provozně udržovací náklady (nájemné, energie, voda, internet, hlasové a datové služby, licence, tiskové služby, náklady na vybavení kancelářských prostor, IT vybavení, vybavení pro hlasové a mobilní komunikace, kancelářské pomůcky, zajištění autoparku včetně jeho provozu, catering a reprezentační fond);</w:t>
      </w:r>
    </w:p>
    <w:p w14:paraId="27AFC17C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náklady na vzdělávání; </w:t>
      </w:r>
    </w:p>
    <w:p w14:paraId="1C9E6D8B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zajištění propagace a publicity (kampaně v masmédiích, inzerce na internetu, zajištění grafiky a tisku, konference a semináře k propagaci programu a pro žadatele, účast na veletrzích, akce pro veřejnost);</w:t>
      </w:r>
    </w:p>
    <w:p w14:paraId="04DD2985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zajištění dodavatelů služeb (překlady a tlumočení, vzdělávání a semináře pro zaměstnance, technické a organizační zajištění monitorovacích výborů a dalších zasedání, odborných jednání, seminářů aj.); </w:t>
      </w:r>
    </w:p>
    <w:p w14:paraId="338E7363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poradenské a právní služby, specializované odborné poradenství, expertní hodnocení, expertní kontrolní a auditní služby; </w:t>
      </w:r>
    </w:p>
    <w:p w14:paraId="7AED6CE9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zajištění odborných studií, analýz, evaluací; </w:t>
      </w:r>
    </w:p>
    <w:p w14:paraId="01781F95" w14:textId="77777777" w:rsidR="0084511A" w:rsidRDefault="000B4467">
      <w:pPr>
        <w:jc w:val="both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jiné nezbytné služby.</w:t>
      </w:r>
    </w:p>
    <w:p w14:paraId="78605132" w14:textId="77777777" w:rsidR="0084511A" w:rsidRDefault="0084511A">
      <w:pPr>
        <w:jc w:val="both"/>
        <w:rPr>
          <w:rFonts w:ascii="Segoe UI" w:hAnsi="Segoe UI" w:cs="Segoe UI"/>
          <w:sz w:val="20"/>
          <w:szCs w:val="20"/>
        </w:rPr>
      </w:pPr>
    </w:p>
    <w:p w14:paraId="2217E29A" w14:textId="77777777" w:rsidR="0084511A" w:rsidRDefault="0084511A">
      <w:pPr>
        <w:jc w:val="both"/>
        <w:rPr>
          <w:rFonts w:ascii="Segoe UI" w:hAnsi="Segoe UI" w:cs="Segoe UI"/>
          <w:sz w:val="20"/>
          <w:szCs w:val="20"/>
        </w:rPr>
      </w:pPr>
    </w:p>
    <w:p w14:paraId="095D017E" w14:textId="77777777" w:rsidR="0084511A" w:rsidRDefault="0084511A">
      <w:pPr>
        <w:jc w:val="both"/>
        <w:rPr>
          <w:rFonts w:ascii="Segoe UI" w:hAnsi="Segoe UI" w:cs="Segoe UI"/>
          <w:sz w:val="20"/>
          <w:szCs w:val="20"/>
        </w:rPr>
      </w:pPr>
    </w:p>
    <w:p w14:paraId="500F068E" w14:textId="77777777" w:rsidR="0084511A" w:rsidRDefault="0084511A">
      <w:pPr>
        <w:jc w:val="both"/>
        <w:rPr>
          <w:rFonts w:ascii="Segoe UI" w:hAnsi="Segoe UI" w:cs="Segoe UI"/>
          <w:sz w:val="20"/>
          <w:szCs w:val="20"/>
        </w:rPr>
      </w:pPr>
    </w:p>
    <w:p w14:paraId="6B7B4FDF" w14:textId="77777777" w:rsidR="0084511A" w:rsidRDefault="0084511A">
      <w:pPr>
        <w:jc w:val="both"/>
        <w:rPr>
          <w:rFonts w:ascii="Segoe UI" w:hAnsi="Segoe UI" w:cs="Segoe UI"/>
          <w:sz w:val="20"/>
          <w:szCs w:val="20"/>
        </w:rPr>
      </w:pPr>
    </w:p>
    <w:p w14:paraId="74B4197E" w14:textId="77777777" w:rsidR="0084511A" w:rsidRDefault="0084511A">
      <w:pPr>
        <w:jc w:val="both"/>
        <w:rPr>
          <w:rFonts w:ascii="Segoe UI" w:hAnsi="Segoe UI" w:cs="Segoe UI"/>
          <w:sz w:val="20"/>
          <w:szCs w:val="20"/>
        </w:rPr>
      </w:pPr>
    </w:p>
    <w:p w14:paraId="3C42DDCD" w14:textId="77777777" w:rsidR="0084511A" w:rsidRDefault="0084511A">
      <w:pPr>
        <w:jc w:val="both"/>
        <w:rPr>
          <w:rFonts w:ascii="Segoe UI" w:hAnsi="Segoe UI" w:cs="Segoe UI"/>
          <w:sz w:val="20"/>
          <w:szCs w:val="20"/>
        </w:rPr>
      </w:pPr>
    </w:p>
    <w:p w14:paraId="6C43D205" w14:textId="77777777" w:rsidR="0084511A" w:rsidRDefault="0084511A">
      <w:pPr>
        <w:jc w:val="both"/>
        <w:rPr>
          <w:rFonts w:ascii="Segoe UI" w:hAnsi="Segoe UI" w:cs="Segoe UI"/>
          <w:sz w:val="20"/>
          <w:szCs w:val="20"/>
        </w:rPr>
      </w:pPr>
    </w:p>
    <w:p w14:paraId="00DCEDC6" w14:textId="77777777" w:rsidR="0084511A" w:rsidRDefault="0084511A">
      <w:pPr>
        <w:jc w:val="both"/>
        <w:rPr>
          <w:rFonts w:ascii="Segoe UI" w:hAnsi="Segoe UI" w:cs="Segoe UI"/>
          <w:sz w:val="20"/>
          <w:szCs w:val="20"/>
        </w:rPr>
      </w:pPr>
    </w:p>
    <w:sectPr w:rsidR="0084511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84284F5" w16cex:dateUtc="2022-07-08T11:59:1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307FC9" w14:textId="77777777" w:rsidR="00E5278C" w:rsidRDefault="00E5278C">
      <w:pPr>
        <w:spacing w:after="0" w:line="240" w:lineRule="auto"/>
      </w:pPr>
      <w:r>
        <w:separator/>
      </w:r>
    </w:p>
  </w:endnote>
  <w:endnote w:type="continuationSeparator" w:id="0">
    <w:p w14:paraId="3B59429C" w14:textId="77777777" w:rsidR="00E5278C" w:rsidRDefault="00E52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52312561"/>
      <w:docPartObj>
        <w:docPartGallery w:val="Page Numbers (Bottom of Page)"/>
        <w:docPartUnique/>
      </w:docPartObj>
    </w:sdtPr>
    <w:sdtEndPr/>
    <w:sdtContent>
      <w:p w14:paraId="1A4A1A93" w14:textId="77777777" w:rsidR="0084511A" w:rsidRDefault="0084511A">
        <w:pPr>
          <w:pStyle w:val="Zpat"/>
          <w:ind w:firstLine="708"/>
          <w:jc w:val="center"/>
        </w:pPr>
      </w:p>
      <w:tbl>
        <w:tblPr>
          <w:tblW w:w="0" w:type="auto"/>
          <w:tblBorders>
            <w:top w:val="single" w:sz="4" w:space="0" w:color="auto"/>
          </w:tblBorders>
          <w:tblLook w:val="01E0" w:firstRow="1" w:lastRow="1" w:firstColumn="1" w:lastColumn="1" w:noHBand="0" w:noVBand="0"/>
        </w:tblPr>
        <w:tblGrid>
          <w:gridCol w:w="3040"/>
          <w:gridCol w:w="3001"/>
          <w:gridCol w:w="3031"/>
        </w:tblGrid>
        <w:tr w:rsidR="0084511A" w14:paraId="4DC7776C" w14:textId="77777777">
          <w:trPr>
            <w:trHeight w:val="274"/>
          </w:trPr>
          <w:tc>
            <w:tcPr>
              <w:tcW w:w="3343" w:type="dxa"/>
            </w:tcPr>
            <w:p w14:paraId="27EA283C" w14:textId="594BC605" w:rsidR="0084511A" w:rsidRDefault="000B4467">
              <w:pPr>
                <w:pStyle w:val="Zpat"/>
                <w:rPr>
                  <w:rFonts w:ascii="Segoe UI" w:hAnsi="Segoe UI" w:cs="Segoe UI"/>
                  <w:b/>
                  <w:bCs/>
                </w:rPr>
              </w:pPr>
              <w:r>
                <w:rPr>
                  <w:rFonts w:ascii="Segoe UI" w:hAnsi="Segoe UI" w:cs="Segoe UI"/>
                  <w:b/>
                </w:rPr>
                <w:t>Platnost od</w:t>
              </w:r>
              <w:r w:rsidR="00C83E8B">
                <w:rPr>
                  <w:rFonts w:ascii="Segoe UI" w:hAnsi="Segoe UI" w:cs="Segoe UI"/>
                  <w:b/>
                </w:rPr>
                <w:t xml:space="preserve"> 1</w:t>
              </w:r>
              <w:r w:rsidR="00750391">
                <w:rPr>
                  <w:rFonts w:ascii="Segoe UI" w:hAnsi="Segoe UI" w:cs="Segoe UI"/>
                  <w:b/>
                </w:rPr>
                <w:t>9</w:t>
              </w:r>
              <w:r w:rsidR="00C83E8B">
                <w:rPr>
                  <w:rFonts w:ascii="Segoe UI" w:hAnsi="Segoe UI" w:cs="Segoe UI"/>
                  <w:b/>
                </w:rPr>
                <w:t xml:space="preserve">. </w:t>
              </w:r>
              <w:r w:rsidR="00750391">
                <w:rPr>
                  <w:rFonts w:ascii="Segoe UI" w:hAnsi="Segoe UI" w:cs="Segoe UI"/>
                  <w:b/>
                </w:rPr>
                <w:t>12</w:t>
              </w:r>
              <w:r w:rsidR="00C83E8B">
                <w:rPr>
                  <w:rFonts w:ascii="Segoe UI" w:hAnsi="Segoe UI" w:cs="Segoe UI"/>
                  <w:b/>
                </w:rPr>
                <w:t>. 2022</w:t>
              </w:r>
            </w:p>
          </w:tc>
          <w:tc>
            <w:tcPr>
              <w:tcW w:w="3344" w:type="dxa"/>
            </w:tcPr>
            <w:p w14:paraId="5D164D6D" w14:textId="4AF88E79" w:rsidR="0084511A" w:rsidRDefault="000B4467">
              <w:pPr>
                <w:pStyle w:val="Zpat"/>
                <w:rPr>
                  <w:rFonts w:ascii="Segoe UI" w:hAnsi="Segoe UI" w:cs="Segoe UI"/>
                  <w:b/>
                  <w:bCs/>
                </w:rPr>
              </w:pPr>
              <w:r>
                <w:rPr>
                  <w:rFonts w:ascii="Segoe UI" w:hAnsi="Segoe UI" w:cs="Segoe UI"/>
                  <w:b/>
                  <w:bCs/>
                </w:rPr>
                <w:t xml:space="preserve">                   verze </w:t>
              </w:r>
              <w:r w:rsidRPr="00AF41B6">
                <w:rPr>
                  <w:rFonts w:ascii="Segoe UI" w:hAnsi="Segoe UI" w:cs="Segoe UI"/>
                  <w:b/>
                  <w:bCs/>
                </w:rPr>
                <w:t>1</w:t>
              </w:r>
              <w:r w:rsidR="00C83E8B">
                <w:rPr>
                  <w:rFonts w:ascii="Segoe UI" w:hAnsi="Segoe UI" w:cs="Segoe UI"/>
                  <w:b/>
                  <w:bCs/>
                </w:rPr>
                <w:t>.</w:t>
              </w:r>
              <w:r w:rsidR="00750391">
                <w:rPr>
                  <w:rFonts w:ascii="Segoe UI" w:hAnsi="Segoe UI" w:cs="Segoe UI"/>
                  <w:b/>
                  <w:bCs/>
                </w:rPr>
                <w:t>1</w:t>
              </w:r>
            </w:p>
          </w:tc>
          <w:tc>
            <w:tcPr>
              <w:tcW w:w="3344" w:type="dxa"/>
            </w:tcPr>
            <w:p w14:paraId="3BA54150" w14:textId="77777777" w:rsidR="0084511A" w:rsidRDefault="000B4467">
              <w:pPr>
                <w:pStyle w:val="Zpat"/>
                <w:jc w:val="right"/>
                <w:rPr>
                  <w:rFonts w:ascii="Segoe UI" w:hAnsi="Segoe UI" w:cs="Segoe UI"/>
                  <w:b/>
                  <w:bCs/>
                </w:rPr>
              </w:pPr>
              <w:r w:rsidRPr="00222786">
                <w:rPr>
                  <w:rFonts w:ascii="Segoe UI" w:hAnsi="Segoe UI" w:cs="Segoe UI"/>
                  <w:b/>
                  <w:bCs/>
                </w:rPr>
                <w:t xml:space="preserve">Strana </w:t>
              </w:r>
              <w:r w:rsidRPr="00222786">
                <w:rPr>
                  <w:rStyle w:val="slostrnky"/>
                  <w:rFonts w:ascii="Segoe UI" w:hAnsi="Segoe UI" w:cs="Segoe UI"/>
                  <w:b/>
                  <w:bCs/>
                  <w:color w:val="auto"/>
                </w:rPr>
                <w:fldChar w:fldCharType="begin"/>
              </w:r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</w:rPr>
                <w:instrText xml:space="preserve"> PAGE </w:instrText>
              </w:r>
              <w:r w:rsidRPr="00222786">
                <w:rPr>
                  <w:rStyle w:val="slostrnky"/>
                  <w:rFonts w:ascii="Segoe UI" w:hAnsi="Segoe UI" w:cs="Segoe UI"/>
                  <w:b/>
                  <w:bCs/>
                  <w:color w:val="auto"/>
                </w:rPr>
                <w:fldChar w:fldCharType="separate"/>
              </w:r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</w:rPr>
                <w:t>2</w:t>
              </w:r>
              <w:r w:rsidRPr="00222786">
                <w:rPr>
                  <w:rStyle w:val="slostrnky"/>
                  <w:rFonts w:ascii="Segoe UI" w:hAnsi="Segoe UI" w:cs="Segoe UI"/>
                  <w:b/>
                  <w:bCs/>
                  <w:color w:val="auto"/>
                </w:rPr>
                <w:fldChar w:fldCharType="end"/>
              </w:r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</w:rPr>
                <w:t xml:space="preserve"> </w:t>
              </w:r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  <w:lang w:val="en-US"/>
                </w:rPr>
                <w:t>[</w:t>
              </w:r>
              <w:proofErr w:type="spellStart"/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  <w:lang w:val="en-US"/>
                </w:rPr>
                <w:t>celkem</w:t>
              </w:r>
              <w:proofErr w:type="spellEnd"/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</w:rPr>
                <w:t xml:space="preserve"> </w:t>
              </w:r>
              <w:r w:rsidRPr="00222786">
                <w:rPr>
                  <w:rStyle w:val="slostrnky"/>
                  <w:rFonts w:ascii="Segoe UI" w:hAnsi="Segoe UI" w:cs="Segoe UI"/>
                  <w:b/>
                  <w:bCs/>
                  <w:color w:val="auto"/>
                </w:rPr>
                <w:fldChar w:fldCharType="begin"/>
              </w:r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</w:rPr>
                <w:instrText xml:space="preserve"> NUMPAGES </w:instrText>
              </w:r>
              <w:r w:rsidRPr="00222786">
                <w:rPr>
                  <w:rStyle w:val="slostrnky"/>
                  <w:rFonts w:ascii="Segoe UI" w:hAnsi="Segoe UI" w:cs="Segoe UI"/>
                  <w:b/>
                  <w:bCs/>
                  <w:color w:val="auto"/>
                </w:rPr>
                <w:fldChar w:fldCharType="separate"/>
              </w:r>
              <w:r w:rsidRPr="00222786">
                <w:rPr>
                  <w:rStyle w:val="slostrnky"/>
                  <w:rFonts w:ascii="Segoe UI" w:hAnsi="Segoe UI" w:cs="Segoe UI"/>
                  <w:b/>
                  <w:color w:val="auto"/>
                </w:rPr>
                <w:t>2</w:t>
              </w:r>
              <w:r w:rsidRPr="00222786">
                <w:rPr>
                  <w:rStyle w:val="slostrnky"/>
                  <w:rFonts w:ascii="Segoe UI" w:hAnsi="Segoe UI" w:cs="Segoe UI"/>
                  <w:b/>
                  <w:bCs/>
                  <w:color w:val="auto"/>
                </w:rPr>
                <w:fldChar w:fldCharType="end"/>
              </w:r>
              <w:r>
                <w:rPr>
                  <w:rStyle w:val="slostrnky"/>
                  <w:rFonts w:ascii="Segoe UI" w:hAnsi="Segoe UI" w:cs="Segoe UI"/>
                  <w:color w:val="auto"/>
                </w:rPr>
                <w:t>]</w:t>
              </w:r>
            </w:p>
          </w:tc>
        </w:tr>
      </w:tbl>
      <w:p w14:paraId="783D5082" w14:textId="77777777" w:rsidR="0084511A" w:rsidRDefault="00750391">
        <w:pPr>
          <w:pStyle w:val="Zpat"/>
          <w:ind w:firstLine="708"/>
          <w:jc w:val="center"/>
        </w:pPr>
      </w:p>
    </w:sdtContent>
  </w:sdt>
  <w:p w14:paraId="6346891B" w14:textId="77777777" w:rsidR="0084511A" w:rsidRDefault="008451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32801" w14:textId="77777777" w:rsidR="00E5278C" w:rsidRDefault="00E5278C">
      <w:pPr>
        <w:spacing w:after="0" w:line="240" w:lineRule="auto"/>
      </w:pPr>
      <w:r>
        <w:separator/>
      </w:r>
    </w:p>
  </w:footnote>
  <w:footnote w:type="continuationSeparator" w:id="0">
    <w:p w14:paraId="1471333C" w14:textId="77777777" w:rsidR="00E5278C" w:rsidRDefault="00E5278C">
      <w:pPr>
        <w:spacing w:after="0" w:line="240" w:lineRule="auto"/>
      </w:pPr>
      <w:r>
        <w:continuationSeparator/>
      </w:r>
    </w:p>
  </w:footnote>
  <w:footnote w:id="1">
    <w:p w14:paraId="10E82E77" w14:textId="77777777" w:rsidR="0084511A" w:rsidRPr="00222786" w:rsidRDefault="000B4467">
      <w:pPr>
        <w:pStyle w:val="Textpoznpodarou"/>
        <w:jc w:val="both"/>
        <w:rPr>
          <w:rFonts w:ascii="Segoe UI" w:hAnsi="Segoe UI" w:cs="Segoe UI"/>
          <w:color w:val="444444"/>
          <w:sz w:val="18"/>
          <w:szCs w:val="18"/>
          <w:shd w:val="clear" w:color="auto" w:fill="FFFFFF"/>
        </w:rPr>
      </w:pPr>
      <w:r w:rsidRPr="00222786">
        <w:rPr>
          <w:rStyle w:val="Znakapoznpodarou"/>
          <w:rFonts w:ascii="Segoe UI" w:hAnsi="Segoe UI" w:cs="Segoe UI"/>
        </w:rPr>
        <w:footnoteRef/>
      </w:r>
      <w:r w:rsidRPr="00222786">
        <w:rPr>
          <w:rFonts w:ascii="Segoe UI" w:hAnsi="Segoe UI" w:cs="Segoe UI"/>
        </w:rPr>
        <w:t xml:space="preserve"> </w:t>
      </w:r>
      <w:r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 xml:space="preserve">Návrh NAŘÍZENÍ EVROPSKÉHO </w:t>
      </w:r>
      <w:bookmarkStart w:id="0" w:name="_GoBack"/>
      <w:bookmarkEnd w:id="0"/>
      <w:r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>PARLAMENTU A RADY o společných ustanoveních o Evropském fondu pro regionální rozvoj, Evropském sociálním fondu plus, Fondu soudržnosti a Evropském námořním a rybářském fondu a o finančních pravidlech pro tyto fondy a pro Azylový a migrační fond, Fond pro vnitřní bezpečnost a Nástroj pro správu hranic a vízové politiky, dále jen obecné nařízení nebo ON.</w:t>
      </w:r>
    </w:p>
    <w:p w14:paraId="364B5111" w14:textId="77777777" w:rsidR="0084511A" w:rsidRPr="00222786" w:rsidRDefault="0084511A">
      <w:pPr>
        <w:pStyle w:val="Textpoznpodarou"/>
        <w:rPr>
          <w:rFonts w:ascii="Segoe UI" w:hAnsi="Segoe UI" w:cs="Segoe UI"/>
        </w:rPr>
      </w:pPr>
    </w:p>
  </w:footnote>
  <w:footnote w:id="2">
    <w:p w14:paraId="0271B7BF" w14:textId="617B89D5" w:rsidR="0084511A" w:rsidRPr="00222786" w:rsidRDefault="000B4467">
      <w:pPr>
        <w:pStyle w:val="Textpoznpodarou"/>
        <w:jc w:val="both"/>
        <w:rPr>
          <w:rFonts w:ascii="Segoe UI" w:hAnsi="Segoe UI" w:cs="Segoe UI"/>
          <w:color w:val="444444"/>
          <w:sz w:val="18"/>
          <w:szCs w:val="18"/>
          <w:shd w:val="clear" w:color="auto" w:fill="FFFFFF"/>
        </w:rPr>
      </w:pPr>
      <w:r w:rsidRPr="00222786">
        <w:rPr>
          <w:rStyle w:val="Znakapoznpodarou"/>
          <w:rFonts w:ascii="Segoe UI" w:hAnsi="Segoe UI" w:cs="Segoe UI"/>
        </w:rPr>
        <w:footnoteRef/>
      </w:r>
      <w:r w:rsidRPr="00222786">
        <w:rPr>
          <w:rFonts w:ascii="Segoe UI" w:hAnsi="Segoe UI" w:cs="Segoe UI"/>
        </w:rPr>
        <w:t xml:space="preserve"> </w:t>
      </w:r>
      <w:r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>Jedná se o výčet a rozdělení nákladů na přímé a ostatní bez ohledu na to, zda se budou skutečně z</w:t>
      </w:r>
      <w:r w:rsidR="00517840"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 xml:space="preserve"> TP </w:t>
      </w:r>
      <w:r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>OPŽP</w:t>
      </w:r>
      <w:r w:rsidR="00EE24E3"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>/OPST</w:t>
      </w:r>
      <w:r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 xml:space="preserve"> hradit. Některé dílčí náklady (energie, voda, hlasové služby), </w:t>
      </w:r>
      <w:r w:rsidR="00517840"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>nemusí</w:t>
      </w:r>
      <w:r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 xml:space="preserve"> být v rámci pozdější dohody </w:t>
      </w:r>
      <w:r w:rsidR="00CC1CD4"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 xml:space="preserve">v rámci interních postupů každého subjektu </w:t>
      </w:r>
      <w:r w:rsidRPr="00222786">
        <w:rPr>
          <w:rFonts w:ascii="Segoe UI" w:hAnsi="Segoe UI" w:cs="Segoe UI"/>
          <w:color w:val="444444"/>
          <w:sz w:val="18"/>
          <w:szCs w:val="18"/>
          <w:shd w:val="clear" w:color="auto" w:fill="FFFFFF"/>
        </w:rPr>
        <w:t>z TP ani propláceny, ani z EU refundovány.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5954"/>
      <w:gridCol w:w="3118"/>
    </w:tblGrid>
    <w:tr w:rsidR="0084511A" w14:paraId="60127B23" w14:textId="77777777">
      <w:trPr>
        <w:trHeight w:val="237"/>
      </w:trPr>
      <w:tc>
        <w:tcPr>
          <w:tcW w:w="5954" w:type="dxa"/>
        </w:tcPr>
        <w:p w14:paraId="417089EF" w14:textId="24F4A593" w:rsidR="0084511A" w:rsidRDefault="000B4467">
          <w:pPr>
            <w:pStyle w:val="Zhlav"/>
            <w:rPr>
              <w:b/>
              <w:bCs/>
            </w:rPr>
          </w:pPr>
          <w:r>
            <w:rPr>
              <w:b/>
              <w:bCs/>
            </w:rPr>
            <w:t>Zjednodušené metody vykazování pro TP OPŽP/</w:t>
          </w:r>
          <w:r w:rsidR="006B0BED">
            <w:rPr>
              <w:b/>
              <w:bCs/>
            </w:rPr>
            <w:t>OPST</w:t>
          </w:r>
        </w:p>
      </w:tc>
      <w:tc>
        <w:tcPr>
          <w:tcW w:w="3118" w:type="dxa"/>
        </w:tcPr>
        <w:p w14:paraId="15685F08" w14:textId="27B227F3" w:rsidR="0084511A" w:rsidRDefault="000B4467">
          <w:pPr>
            <w:pStyle w:val="Zhlav"/>
            <w:rPr>
              <w:b/>
              <w:bCs/>
            </w:rPr>
          </w:pPr>
          <w:r>
            <w:rPr>
              <w:b/>
              <w:bCs/>
            </w:rPr>
            <w:t xml:space="preserve">Příloha č. </w:t>
          </w:r>
          <w:r w:rsidR="00C83E8B">
            <w:rPr>
              <w:b/>
              <w:bCs/>
            </w:rPr>
            <w:t>4</w:t>
          </w:r>
          <w:r>
            <w:rPr>
              <w:b/>
              <w:bCs/>
            </w:rPr>
            <w:t xml:space="preserve"> ZP TP OPŽP/OPST </w:t>
          </w:r>
        </w:p>
      </w:tc>
    </w:tr>
  </w:tbl>
  <w:p w14:paraId="400AE7A0" w14:textId="77777777" w:rsidR="0084511A" w:rsidRDefault="008451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D1367"/>
    <w:multiLevelType w:val="hybridMultilevel"/>
    <w:tmpl w:val="14BE32D8"/>
    <w:lvl w:ilvl="0" w:tplc="CEA04BF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F4067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F283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A20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E33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60C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CAFA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4E81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24C7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A2203A"/>
    <w:multiLevelType w:val="hybridMultilevel"/>
    <w:tmpl w:val="22429EAC"/>
    <w:lvl w:ilvl="0" w:tplc="A1E08C6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E16B0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4897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B6C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2A79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6EF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6EC6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624E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DAEB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11A"/>
    <w:rsid w:val="00076CA0"/>
    <w:rsid w:val="000B4467"/>
    <w:rsid w:val="000F200C"/>
    <w:rsid w:val="00222786"/>
    <w:rsid w:val="003A293A"/>
    <w:rsid w:val="00517840"/>
    <w:rsid w:val="005E4B38"/>
    <w:rsid w:val="0062158E"/>
    <w:rsid w:val="00683C56"/>
    <w:rsid w:val="006B0BED"/>
    <w:rsid w:val="006C233A"/>
    <w:rsid w:val="006F5AE2"/>
    <w:rsid w:val="00750391"/>
    <w:rsid w:val="0084511A"/>
    <w:rsid w:val="0088218D"/>
    <w:rsid w:val="00A639D4"/>
    <w:rsid w:val="00AF41B6"/>
    <w:rsid w:val="00B120DB"/>
    <w:rsid w:val="00B36A74"/>
    <w:rsid w:val="00C51A44"/>
    <w:rsid w:val="00C83E8B"/>
    <w:rsid w:val="00CC1CD4"/>
    <w:rsid w:val="00CF4264"/>
    <w:rsid w:val="00D1033D"/>
    <w:rsid w:val="00D840AE"/>
    <w:rsid w:val="00E5278C"/>
    <w:rsid w:val="00EE24E3"/>
    <w:rsid w:val="00FA4B4A"/>
    <w:rsid w:val="00FC3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3C6F3"/>
  <w15:docId w15:val="{7402EB15-B9F8-44F7-89FC-CE38EF5C7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basedOn w:val="Standardnpsmoodstavce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Pr>
      <w:vertAlign w:val="superscript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</w:style>
  <w:style w:type="paragraph" w:styleId="Zpat">
    <w:name w:val="footer"/>
    <w:basedOn w:val="Normln"/>
    <w:link w:val="ZpatCh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</w:style>
  <w:style w:type="paragraph" w:styleId="Revize">
    <w:name w:val="Revision"/>
    <w:hidden/>
    <w:uiPriority w:val="99"/>
    <w:semiHidden/>
    <w:pPr>
      <w:spacing w:after="0" w:line="240" w:lineRule="auto"/>
    </w:p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basedOn w:val="Zhlav"/>
    <w:uiPriority w:val="1"/>
    <w:qFormat/>
    <w:pPr>
      <w:spacing w:line="276" w:lineRule="auto"/>
    </w:pPr>
    <w:rPr>
      <w:rFonts w:ascii="Arial" w:eastAsia="Calibri" w:hAnsi="Arial" w:cs="Arial"/>
      <w:sz w:val="24"/>
      <w:szCs w:val="24"/>
    </w:rPr>
  </w:style>
  <w:style w:type="character" w:styleId="slostrnky">
    <w:name w:val="page number"/>
    <w:rPr>
      <w:rFonts w:ascii="Arial" w:eastAsia="MS Mincho" w:hAnsi="Arial"/>
      <w:color w:val="000080"/>
      <w:sz w:val="21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78A955B-B837-4936-B204-DC41F6643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Kuťák Lukáš</dc:creator>
  <cp:lastModifiedBy>Tvardková Veronika</cp:lastModifiedBy>
  <cp:revision>4</cp:revision>
  <dcterms:created xsi:type="dcterms:W3CDTF">2022-12-09T12:44:00Z</dcterms:created>
  <dcterms:modified xsi:type="dcterms:W3CDTF">2022-12-20T11:59:00Z</dcterms:modified>
</cp:coreProperties>
</file>